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244950-П/2016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Уткина Сергея Владимировича на нарушение его конституционных прав подпунктом «д» пункта 1 статьи 5 Федерального закона «О государственной регистрации юридических лиц и индивидуальных предпринимателей», положениями пункта 1 части второй и пункта 3 части третьей статьи 392 Гражданского процессуального кодекса Российской Федерации, статьями 8, 10, частью первой статьи 14 и частью третьей статьи 159 Уголовного кодекса Российской Федерации и частью первой статьи 42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С.В.Уткина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С.В.Уткин приговором с учетом изменений, внесенных апелляционным определением суда второй инстанции, был признан 2 виновным в совершении ряда преступлений, в том числе предусмотренных частью третьей статьи 159 «Мошенничество» УК Российской Федерации. Постановлением судьи суда кассационной инстанции в передаче его кассационной жалобы на эти судебные решения для рассмотрения в судебном заседании суда кассационной инстанции ему было отказано. Определением суда общей юрисдикции, оставленным без изменения вышестоящей судебной инстанцией, было удовлетворено заявление юридического лица о пересмотре по вновь открывшимся обстоятельствам решения суда общей юрисдикции о взыскании с указанного юридического лица в пользу С.В.Уткина денежных средств по договорам займа и отказе в удовлетворении его встречных исковых требований к С.В.Уткину о признании данных договоров незаключенными. Данное определение было отменено и производство по делу возобновлено. При новом рассмотрении дела судом общей юрисдикции С.В.Уткину в удовлетворении исковых требований о взыскании с названного юридического лица задолженности по договорам займа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подпункта «д» пункта 1 статьи 5 Федерального закона «О государственной регистрации юридических лиц и индивидуальных 5 предпринимателей» о наличии в едином государственном реестре сведений, в том числе об учредителях (участниках) юридического лица, направлено на обеспечение открытости, доступности и достоверности информации о юридических лицах, способствует упрочнению и стабильности гражданского оборота в целом и само по себе не может расцениваться как нарушающее конституционные права заявителя в его конкретном деле, в котором не были опровергнуты содержащиеся в едином государственном реестре юридических лиц сведения об участниках общества с ограниченной ответственностью, достоверность которых оспаривалась С.В.Уткиным.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Уткина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