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335562-П/2018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14 мая 2018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Городилова Тимофея Евгеньевича на нарушение его конституционных прав частью 12 статьи 29.5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заслушав заключение судьи С.П.Маврина,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Т.Е.Городилова,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соответствии с Конституцией Российской Федерации каждому гарантируется судебная защита его прав и свобод (статья 46, часть 1); никто не может быть лишен права на рассмотрение его дела в том суде и тем судьей, к подсудности которых оно отнесено законом (статья 47, часть 1). Как неоднократно отмечал Конституционный Суд Российской Федерации, право на судебную защиту предполагает, что рассмотрение дела должно осуществляться не произвольно выбранным, а законно установленным судом, т.е. судом, чья компетенция по рассмотрению данного дела определяется на основании закрепленных в законе критериев, которые в нормативной форме (в виде общего правила) заранее предопределяют, в каком суде будет рассмотрено то или иное дело, что позволяет суду, сторонам и другим участникам процесса избежать правовой неопределенности в этом вопросе, которую в противном случае приходилось бы устранять посредством решения, основанного на дискреции правоприменительного органа или должностного лица (постановления от 16 марта 1998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Городилова Тимофея Евгеньевича, поскольку она не отвечает требованиям 8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