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325462-П/2018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Вафаевой Асие Юсуфовны на нарушение ее конституционных прав пунктом 1 статьи 302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А.Ю.Вафаевой,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конституционности законоположений, закрепляющих правила истребования собственником принадлежащего ему имущества от добросовестного приобретателя в случае, когда это имущество выбыло из 4 владения собственника помимо его воли, уже был предметом рассмотрения Конституционного Суда Российской Федерации. Сославшись на выраженные ранее правовые позиции, согласно которым при регулировании прав на жилое помещение, включая переход права собственности на него, необходимо соблюдение, с одной стороны, принципа свободы и неприкосновенности частной собственности, а с другой – баланса прав и охраняемых законом интересов всех участников отношений в конкретных жизненных ситуациях, с тем чтобы избежать необоснованного ограничения конституционных прав и свобод (постановления от 8 июня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Вафаевой Асие Юсуфовны,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