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акционерного общества «МОСГАЗ» на нарушение конституционных прав и свобод статьей 16 Федерального закона «Об охране окружающей среды» и пунктом 3 статьи 3 Федерального закона «О федеральном бюджете на 2013 год и на плановый период 2014 и 2015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АО «МОСГАЗ»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Анализируя правовую природу платы за негативное воздействие на окружающую среду, Конституция Российской Федерации относит финансовое регулирование и федеральный бюджет к предметам ведения Российской Федерации, по которым принимаются федеральные законы, имеющие прямое действие на всей территории Российской Федерации (статья 71, пункт «з»; статья 76, часть 1). В правовой системе Российской Федерации федеральный закон о федеральном бюджете представляет собой законодательный акт особого рода, в который на основе принципов сбалансированности, достоверности и реальности включаются предписания, касающиеся доходов и расходов Российской Федерации и относящиеся к периоду, на который принимается данный федеральный закон (Постановление Конституционного Суда Российской Федерации от 23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акционерного общества «МОСГАЗ», поскольку они не отвечают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