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432224-П/2019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Грачева Андрея Валериевича на нарушение его конституционных прав частью пятой статьи 338 и частью первой статьи 4129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А.В.Грачева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отказано в передаче для рассмотрения в судебном заседании Президиума Верховного Суда Российской Федерации надзорной жалобы, поданной в защиту гражданина А.В.Грачева на приговор, которым он осужден и который постановлен на основании вердикта коллегии присяжных заседателей. Как утверждает заявитель, часть пятая статьи 338 УПК Российской Федерации во взаимосвязи с частью первой статьи 4129 того же Кодекса противоречат Конституции Российской Федерации, ее статьям 15 (части 1 и 4), 17 (часть 1), 48 (часть 1), 49 (часть 1), 50 (часть 2), 55 (часть 2), 120 (часть 1) и 123 (часть 3), в той мере, в какой по смыслу, придаваемому им правоприменительной 2 практикой, позволяют не выполнять требование об оглашении председательствующим вопросного листа в судебном заседании в присутствии присяжных заседателей, а вышестоящим судам при проверке судебных решений – не признавать невыполнение данного требования существенным нарушением закона, влекущим отмену приговора, если отсутствуют соответствующие возражения со стороны обвинения или защиты.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Грачева Андрея Валериевича,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