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374056-П/2018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Байло Юрия Владимировича на нарушение его конституционных прав частью первой статьи 171 Уголовного кодекса Российской Федерации и подпунктом «а» пункта 7 Положения о лицензировании разработки, производства, испытания, установки, монтажа, технического обслуживания, ремонта, утилизации и реализации вооружения и военной техники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Ю.В.Байло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Принцип правовой определенности, обязывающий федерального законодателя формулировать уголовно-правовые предписания с достаточной степенью четкости, позволяющей лицу сообразовывать с ними свое поведение – как дозволенное, так и запрещенное – и предвидеть вызываемые им последствия, не исключает введения в уголовный закон юридических конструкций бланкетного характера, которые для уяснения используемых в нем терминов и понятий требуют обращения к нормативному материалу иных правовых актов. Оценивая подобную модель законодательного регулирования,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Байло Юрия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