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299323-П/2017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Набережного Михаила Михайловича на нарушение его конституционных прав пунктом 1 статьи 330 и пунктом 1 статьи 333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М.М.Набережного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с учетом изменений, внесенных судом апелляционной инстанции, были частично удовлетворены исковые требования гражданина М.М.Набережного к страховой организации, в том числе о взыскании суммы штрафа за несоблюдение в добровольном порядке удовлетворения требований истца как потребителя. Суд апелляционной инстанции, руководствуясь статьей 333 ГК Российской Федерации, уменьшил размер данного штрафа. В передаче кассационных жалоб на данное судебное постановление для рассмотрения в судебном заседании 2 судов кассационной инстанции, включая Верховный Суд Российской Федерации,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Гражданское законодательство предусматривает неустойку в качестве способа обеспечения исполнения обязательств и меры имущественной ответственности за их неисполнение или ненадлежащее исполнение, а право снижения неустойки предоставлено суду в целях устранения явной ее несоразмерности последствиям нарушения обязательств. Следовательно, положение пункта 1 статьи 330 ГК Российской Федерации, рассматриваемое в системной взаимосвязи с пунктом 1 статьи 333 того же Кодекса, закрепляющим право суда уменьшить размер неустойки (штрафа), подлежащей взысканию с лица, осуществляющего предпринимательскую деятельность, если она явно несоразмерна последствиям нарушения обязательства, лишь при наличии заявления этого лица об уменьшении неустойки (штрафа), – с учетом разъяснения, содержащегося, в частности, в абзаце третьем пункта 45 постановления Пленума Верховного Суда Российской Федерации от 27 июня 2013 года № 20 «О применении судами законодательства о добровольном страховании имущества граждан», о том, что применение статьи 333 ГК Российской Федерации возможно лишь в исключительных случаях, когда подлежащий уплате штраф явно несоразмерен последствиям нарушенного обязательства, по заявлению ответчика с указанием мотивов, по которым суд полагает, что уменьшение размера штрафа является допустимым, – не может рассматриваться как нарушающее конституционные права заявителя в его конкретном деле в указанном в жалобе аспекте. Проверка же правильности применения правовых норм с учетом фактических обстоятельств конкретного дела, включая проверку правильности выводов судов об обоснованности просьбы ответчика о снижении размера штрафа, не относится к компетенции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Федерации». 4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Набережного Михаила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