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328144-П/2018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Игошина Андрея Павловича на нарушение его конституционных прав статьей 159 Уголовного кодекса Российской Федерации, статьями 172 и 173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А.П.Игошина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сфере уголовно-правового регулирования – в силу статьи 54 (часть 2) Конституции Российской Федерации, основанной на принципе nullum crimen, nulla poena sine lege (нет преступления, нет наказания без указания на то в законе), – особое значение приобретает требование определенности правовых норм, поскольку, как неоднократно отмечал Статья 159 УК Российской Федерации определяет мошенничество как хищение чужого имущества или приобретение права на чужое имущество путем обмана или злоупотребления доверием. При этом под хищением, согласно пункту 1 примечаний к статье 158 УК Российской Федерации, в статьях данного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Нет оснований полагать, что указанные нормы содержат неопределенность в части признаков преступления (определения Конституционного Суда Российской Федерации от 16 апреля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Игошина Андрея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