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255491-П/2016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ноября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Макарова Дмитрия Александровича на нарушение его конституционных прав статьей 4016 и частью первой статьи 40115 Уголовно- процессуального кодекса Российской Федерации, а также частями первой и второй статьи 64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рассмотрев вопрос о возможности принятия жалобы гражданина Д.А.Макарова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21 октября 2014 года, оставленным без изменения апелляционным определением от 24 декабря 2014 года, гражданину Д.А.Макарову за совершение преступления, квалифицированного по части третьей статьи 228 УК Российской Федерации, было назначено наказание – с применением правил статьи 64 этого Кодекса о назначении более мягкого наказания (ниже низшего предела) – в виде лишения свободы на срок семь лет. 2 По результатам рассмотрения кассационной жалобы стороны защиты постановлением президиума суда автономного округа от 22 апреля 2016 года вынесенные в отношении Д.А.Макарова судебные решения изменены: содеянное переквалифицировано на часть вторую статьи 228 УК Российской Федерации, в связи с чем срок наказания сокращен до четырех лет лишения свободы; при этом суд кассационной инстанции, в отличие от нижестоящих судов, не усмотрел оснований для назначения наказания ниже низшего предела санкции данной нормы. Полагая, что подобным решением положение осужденного было ухудшено после истечения годичного срока со дня вступления приговора в силу, сторона защиты обратилась с кассационной жалобой в Верховный Суд Российской Федерации, однако постановлением судьи этого Суда от 8 июня 2016 года в ее передаче для рассмотрения в судебном заседании суда кассационной инстанции отказано, с чем согласился заместитель Председателя Верховного Суда Российской Федерации (решение от 20 июля 2016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Исходя из Конституции Российской Федерации и в предусмотренных ею пределах федеральный законодатель, реализуя свои полномочия, определяет содержание положений уголовного закона, устанавливает преступность тех или иных общественно опасных деяний, их наказуемость, а также порядок привлечения виновных лиц к уголовной ответственности, учитывая при этом степень распространенности таких деяний, значимость охраняемых законом ценностей, на которые они посягают, и существенность причиняемого ими вреда, а также невозможность их преодоления с помощью иных правовых средств. Введение законом уголовной ответственности за то или иное деяние является свидетельством достижения им такого уровня общественной опасности, при котором для восстановления нарушенных общественных отношений требуется использование государственных сил и средств (Постановление Конституционного Суда Российской Федерации от 27 июня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Макарова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