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265180-П/2017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Кириллова Константина Юрьевича на нарушение его конституционных прав частью четвертой статьи 29, частью восьмой статьи 42, частью седьмой статьи 166, частью третьей статьи 195 и частью второй статьи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К.Ю.Кириллова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Частью четвертой статьи 29 УПК Российской Федерации предусматривается, что, если при судебном рассмотрении уголовного дела будут выявлены нарушения прав и свобод граждан, а также другие 3 нарушения закона, суд вправе вынести частное определение или постановление, в котором обращается внимание соответствующих организаций и должностных лиц на факты нарушений закона, требующие принятия необходимых мер; суд может вынести частное определение или постановление и в других случаях, если признает это необходимым. Данное положение уголовно-процессуального закона носит гарантийный характер и направлено на обеспечение прав граждан в сфере уголовного судопроизводства (определения Конституционного Суда Российской Федерации от 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Кириллова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