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294717-П/2017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Чудинова Константина Владимировича на нарушение его конституционных прав частью 1 статьи 19.3, частями 1 и 2 статьи 30.15 и частью 1 статьи 30.16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К.В.Чудинова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4 Закрепляя составы административных правонарушений и меры ответственности за их совершение, законодатель обязан соблюдать гарантированное статьей 19 (часть 1) Конституции Российской Федерации равенство всех перед законом и вытекающее из него требование определенности правовых норм, означающее, что любое административное правонарушение, а равно санкции за его совершение должны быть четко определены в законе, причем таким образом, чтобы исходя из текста соответствующей нормы – в случае необходимости с помощью толкования, данного ей судами, – каждый мог предвидеть административно-правовые последствия своих действий (бездействия) (постановления Конституционного Суда Российской Федерации от 13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Чудинова Константина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