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305188-П/2017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Илларионовой Валентины Ивановны на нарушение ее конституционных прав применением пункта 2 статьи 6 Соглашения «О гарантиях прав граждан государств – участников Содружества Независимых Государств в области пенсионного обеспечения» и положений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В.И.Илларионовой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статей 96 и 97 Федерального конституционного закона «О Конституционном Суде Российской Федерации» гражданин вправе обратиться в Конституция Российской Федерации, гарантируя каждому в соответствии с целями социального государства, закрепленными в ее статье 7 (часть 1), социальное обеспечение по возрасту, в случае болезни, инвалидности, 4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введение правил исчисления и подтверждения стажа, к компетенции законодателя (статья 39, часть 2). Закрепленное в пункте 2 статьи 3 Федерального закона «О страховых пенсиях» понятие страхового стажа как учитываемой при определении права на страховую пенсию и ее размера суммарной продолжительности периодов работы и (или) иной деятельности, за которые начислялись и уплачивались страховые взносы в Пенсионный фонд Российской Федерации, а также иных периодов, засчитываемых в страховой стаж, согласуется с принципами обязательного социального (в том числе пенсионного) страхования (статья 4 Федерального закона от 16 июля 1999 года № 165-ФЗ «Об основах обязательного социального страхования») и выступает одним из элементов правового механизма реализации права застрахованных лиц на обеспечение по обязательному пенсионному страхованию исходя из особенностей финансирования страховых пенсий, а потому не может рассматриваться как нарушающее права граждан. Оспариваемые заявительницей пункт 2 статьи 1 Федерального закона «О трудовых пенсиях в Российской Федерации» и часть 3 статьи 2 Федерального закона «О страховых пенсиях», предусматривая применение в сфере пенсионного обеспечения общепризнанных принципов и норм международного права и международных договоров Российской Федерации, а также приоритет установленных такими договорами правил, воспроизводят положения статьи 15 (часть 4) Конституции Российской Федерации. Поэтому разрешение вопроса о конституционности этих норм фактически означало бы проверку конституционности положений Конституции Российской Федерации, что не входит в компетенцию Конституционного Суда Российской Федерации (определения Конституционного Суда Российской Федерации от 1 апреля 1996 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Илларионовой Валентины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 6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