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359792-П/2018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Вакина Валерия Сергеевича на нарушение его конституционных прав рядом норм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С.Д.Князева, А.Н.Кокотова, Л.О.Красавчиковой, С.П.Маврина, Н.В.Мельникова, О.С.Хохряковой, В.Г.Ярославцева, рассмотрев вопрос о возможности принятия жалобы гражданина В.С.Вакина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Кодексом Российской Федерации об административных правонарушениях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 в определении по делу об административном правонарушении указываются обстоятельства, установленные при рассмотрении заявления, ходатайства, материалов дела (часть 2 статьи 24.4 и пункт 5 части 1 статьи 29.12). Данные требования носят общий характер и распространяются на рассмотрение любых заявленных ходатайств, включая ходатайство о вызове свидетеля, и на вынесение любых определений, в том числе об отказе в удовлетворении ходатайства, независимо от того, в какой форме они принимаются: протокольно или отдельным актом. Такое регулирование направлено на исключение возможности вынесения немотивированного определения по делу об административном правонарушении, притом что заявленные участниками производства по делу об административном правонарушении ходатайства подлежат обязательному рассмотрению судьей, органом, должностным лицом, в производстве которых находится данное дело, что, однако, не предполагает их обязательное удовлетворение (определения Конституционного Суда Российской Федерации от 16 февраля 2012 года В целях обеспечения объективности и беспристрастности лиц, рассматривающих дела об административных правонарушениях, и исходя из публичного характера исполняемых этими лицами обязанностей, несовместимого с наличием у них личной заинтересованности в исходе дела, федеральный законодатель установил в статье 29.2 КоАП Российской Федерации перечень обстоятельств, исключающих возможность рассмотрения дела об административном правонарушении судьей, членом коллегиального органа, должностным лицом. Учитывая, что участники судебного разбирательства должны испытывать доверие к суду, которое может быть поставлено под сомнение только на основе достоверных и обоснованных доказательств, свидетельствующих об обратном, законодатель установил механизм отвода судьи: так, в силу пункта 2 части 1 статьи 29.2 КоАП Российской Федерации судья не может участвовать в рассмотрении дела и подлежит отводу, если он лично, прямо или косвенно, заинтересован в исходе дела либо имеются иные обстоятельства, которые могут вызвать сомнение в его беспристрастности. 5 Следовательно, беспристрастность судьи презюмируется, пока не доказано иное (определения Конституционного Суда Российской Федерации от 17 июля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Вакина Валерия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