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Пузанова Игоря Фридриховича на нарушение его конституционных прав пунктами 2 и 3 статьи 1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И.Ф.Пузанова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 апреля 2015 года гражданин И.Ф.Пузанов осужден за совершение преступлений, в том числе предусмотренных частью первой статьи 30 «Приготовление к преступлению и покушение на преступление» и частью первой статьи 205 «Террористический акт», частью первой статьи 2052 «Публичные призывы к осуществлению террористической деятельности, публичное оправдание терроризма или пропаганда терроризма» УК Российской Федерации, к шести годам лишения 2 свободы со штрафом, а окончательное наказание определено на основании части пятой статьи 69 «Назначение наказания по совокупности преступлений» данного Кодекса с учетом наказания, ранее назначенного приговором от 17 декабря 2013 года, и составило девять лет лишения свободы в исправительной колонии строгого режима со штрафом, который постановлено исполнять самостоятельно. Осужденный обратился в суд с ходатайством о приведении указанных приговоров в соответствие с новым уголовным законом, в удовлетворении которого было отказано постановлением от 4 марта 2019 года. Апелляционная жалоба, в которой содержались доводы о возможности применения положений Федерального закона от 3 июля 2018 года № 186-ФЗ «О внесении изменений в статью 72 Уголовного кодекса Российской Федерации», установивших льготные правила зачета времени содержания под стражей в срок отбывания лишения свободы в колонии общего режима, что было определено приговором суда от 17 декабря 2013 года, была оставлена без удовлетворения апелляционным постановлением от 18 июня 2019 года. В этой связи заявитель утверждает, что пункты 2 и 3 статьи 1 Федерального закона от 3 июля 2018 года № 186-ФЗ противоречат статьям 2, 15 (часть 4), 17–19, 21 (часть 2), 22, 45, 46, 52 и 55 (части 2 и 3) Конституции Российской Федерации, поскольку они ограничивают применение льготных правил зачета времени содержания под стражей в срок наказания для лиц, отбывающих лишение свободы в колониях строгого режима за преступления, предусмотренные статьями 205 и 205 2 УК Российской Федерации, а также не допускают применение этих правил при приведении ранее вынесенных приговоров в соответствие с изменениями уголовного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Пузанова Игоря Фридриховича,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