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289709-П/2017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Устинова Александра Александровича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А.А.Устинова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50 и 51 УПК Российской Федерации, закрепляющие порядок приглашения, назначения и замены защитника, оплаты его труда, а также случаи его обязательного участия, носят гарантийный характер и 4 направлены не на ограничение, а, напротив, на обеспечение конституционных прав граждан в сфере уголовного судопроизводства. Кроме того, согласно части седьмой статьи 49 данного Кодекса, а также подпункту 6 пункта 4 статьи 6 Федерального закона от 31 мая 2002 года № 63-ФЗ «Об адвокатской деятельности и адвокатуре в Российской Федерации» адвокат не вправе отказаться от принятой на себя защиты подозреваемого, обвиняемого. Проверка же оснований к участию конкретных защитников в производстве по делу заявителя предполагает установление обстоятельств этого дела и не относится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Статья 125 УПК Российской Федерации предусматривает судебный порядок рассмотрения жалоб участников уголовного судопроизводства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на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их конституционным правам и свободам либо затруднить им доступ к правосудию, и не может расцениваться как препятствующая реализации права на судебную защиту в ином процессуальном порядке. 5 Что касается статей 4011, 4014, 4015 и 40115 УПК Российской Федерации, то данные нормы, являясь частью механизма пересмотра судебных решений в кассационном порядке, в частности, закрепляют, что кассационная жалоба должна отвечать формальным критериям, предъявляемым к ее содержанию, в противном случае она подлежит возвращению без рассмотрения; предметом проверки суда кассационной инстанции по кассационной жалобе выступает лишь законность приговора, определения или постановления суда, вступивших в законную силу, а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 При этом сам по себе порядок исполнения приговора не влияет на законность такого судебного решения. Соответственно, оспариваемые нормы, не регламентирующие механизм исполнения приговора, не могут расцениваться в качестве нарушающих права А.А.Устинова в обозначенном им аспекте,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Устинова Александра Александровича, поскольку она не отвечает требованиям 6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