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475061-П/2020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«Пятнадцатая управляющая компания «Преображение» на нарушение конституционных прав и свобод подпунктом «а» пункта 2 части 8 статьи 213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по требованию ООО «Пятнадцатая управляющая компания «Преображение»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«Пятнадцатая управляющая компания «Преображение» оспаривает конституционность подпункта «а» пункта 2 части 8 статьи 213 КАС Российской Федерации, согласно которому при рассмотрении административного дела об оспаривании нормативного правового акта суд выясняет, соблюдены ли требования нормативных правовых актов, устанавливающих полномочия органа, организации, должностного лица на принятие нормативных правовых актов. Как следует из представленных материалов, решением суда общей юрисдикции, оставленным без изменения судом вышестоящей инстанции, заявителю было отказано в удовлетворении административного искового 2 заявления о признании недействующими отдельных положений правил благоустройства территории муниципального образования. Суды пришли к выводу о том, что данный муниципальный правовой акт принят уполномоченным органом местного самоуправления, а его оспариваемые положения не противоречат нормативным правовым актам, имеющим большую юридическую силу. В частности, ссылаясь на постановление Пленума Верховного Суда Российской Федерации от 29 ноября 2007 года № 48 «О практике рассмотрения судами дел об оспаривании нормативных правовых актов полностью или в части» (пункт 18), действующее в период рассмотрения конкретного дела заявителя, суды указали, что воспроизведение в правилах благоустройства территории муниципального образования положений федерального законодательства само по себе не может свидетельствовать о незаконности оспариваемого правого акта. Кроме того, суды отметили, что оспариваемые нормы не регулируют вопросы привлечения к административной ответственности и не устанавливают правовые последствия неисполнения содержащихся в них предписаний. Определением судьи Верховного Суда Российской Федерации административному истцу отказано в передаче его надзорной жалобы для рассмотрения в судебном заседании Президиума Верховного Суда Российской Федерации. По мнению заявителя, оспариваемое законоположение по смыслу, придаваемому ему разъяснением Пленума Верховного Суда Российской Федерации, не соответствует статьям 17 (часть 1), 18, 19 (части 1 и 2), 45 (часть 2), 46 (часть 1), 47 (часть 1), 55 (части 2 и 3), 71 (пункт «о») и 123 (часть 3) Конституции Российской Федерации, поскольку позволяет воспроизводить в муниципальном правовом акте требования федерального законодательства, в том числе лицензионные требования, и тем самым неправомерно допускает муниципальный контроль над их соблюдением.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«Пятнадцатая управляющая компания «Преображение»,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