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241339-П/2016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Фроловой Валентины Владимировны на нарушение ее конституционных прав положениями статьи 41 и пункта 1 статьи 210 Налогового кодекса Российской Федерации, статьи 330 Гражданского кодекса Российской Федерации, а также статьи 328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В.В.Фроловой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 Оспариваемая заявителем статья 328 Кодекса административного судопроизводства Российской Федерации, находящаяся в системной связи с другими положениями главы 35 данного Кодекса, воспроизводит правовую позицию Конституционного Суда Российской Федерации, выраженную в Постановлении от 5 февраля 2007 года Таким образом, оспариваемые заявительницей законоположения не содержат неопределенности и не могут рассматриваться как нарушающие ее конституционные права в указанном ею аспекте. Проверка же законности и обоснованности правоприменительных решений, принятых по делу заявительницы, в том числе обоснованности определения налоговой базы по налогу на доходы физических лиц и пересмотра судебных постановлений судом кассационной инстанции,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Фроловой Валентины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