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245163-П/2016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Константина Степановича на нарушение его конституционных прав частью первой статьи 3 Уголовного кодекса Российской Федерации, частью второй статьи 63, пунктами 1 и 2 части первой статьи 38918,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К.С.Федотова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3 УК Российской Федерации, закрепляющая, что преступность деяния, а также его наказуемость и иные уголовно-правовые последствия определяются только данным Кодексом (часть первая), а применение уголовного закона по аналогии не допускается (часть вторая), направлена на реализацию общепризнанного правового принципа nullum crimen, nulla poena sine lege (нет преступления, нет наказания без указания на то в законе) (определения Конституционного Суда Российской Федерации от 25 3 сентября 2014 года 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первая);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новом рассмотрении того же дела в суде второй инстанции после отмены приговора, определения, постановления, вынесенного с его участием (часть вторая). Принимаемое судьей промежуточное решение о выделении уголовного дела в отдельное производство и его возвращении прокурору имеет целью приведение процедуры предварительного расследования в соответствие с требованиями, установленными уголовно-процессуальным законом, с тем чтобы – после устранения выявленных процессуальных нарушений, неустранимых в судебной стадии, – вновь направить дело в суд для 4 рассмотрения по существу и принятия по результатам его рассмотрения итогового решения (Определение Конституционного Суда Российской Федерации от 1 ноября 2012 года Часть третья статьи 4125 УПК Российской Федерации, предусматривающая право Председателя Верховного Суда Российской Федерации или его заместителя не согласиться с постановлением судьи Верховного Суда Российской Федерации об отказе в передаче надзорных жалобы,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жалобы, представления с уголовным делом для рассмотрения в судебном заседании Президиума Верховного Суда Российской Федерации, не нарушает право граждан на судебную защиту, а, напротив, направлена на обеспечение его реализации, поскольку устанавливает дополнительный механизм возбуждения производства в суде надзорной инстанции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Константина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