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Родиной Юлии Валерьевны на нарушение ее конституционных прав частью 2 статьи 4.4, частью 2 статьи 12.19 и статьей 26.1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Ю.В.Родиной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Согласно статье 120 (часть 2) Конституции Российской Федерации суд, установив при рассмотрении дела несоответствие акта государственного или иного органа закону, принимает решение в соответствии с законом. Данное предписание носит общий характер и распространяется на производство по делу об административном правонарушении. При этом лицо, в отношении которого осуществляется производство по делу об административном правонарушении, предусмотренном частью 2 статьи 12.19 КоАП Российской Федерации, вправе приводить доводы о незаконной установке дорожного знака, за невыполнение требований которого оно привлекается к административной ответственности. Поэтому данное законоположение не может рассматриваться как нарушающее конституционные права заявительницы в указанном ею аспекте.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Родиной Юлии Валерьевны,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