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327918-П/2018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Гуровой Надежды Ивановны на нарушение ее конституционных прав положениями статей 150, 152 и 1100 Гражданского кодекса Российской Федерации, статьей 56, частью второй статьи 61 и частью первой статьи 71 Гражданского процессуального кодекса Российской Федерации, а также статьями 42 и 44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Н.И.Гуровой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апелляционной инстанции, гражданке Н.И.Гуровой было отказано в удовлетворении требований к гражданке Т. о защите чести, достоинства и деловой репутации, компенсации морального вреда, причиненного заявлением, сделанным Т. в судебном заседании по делу по иску Н.И.Гуровой о признании завещания недействительным и признании права 2 собственности на жилой дом и земельный участок (иск был удовлетворен частично). Суды указали на отсутствие доказательств того, что спорная информация порочит честь и достоинство истицы, а также посчитали, что содержащееся в ней оценочное суждение, как личное мнение ответчика, не подлежит опровержению; это суждение не имело оскорбительной формы, было изложено при реализации Т. своего права на судебную защиту и не служило цели распространения порочащих сведений. Сам факт возбуждения в отношении Т. дела частного обвинения и последующее его прекращение по нереабилитирующему основанию (в связи с истечением сроков давности уголовного преследования) не были признаны бесспорными доказательствами факта совершения Т. деяния, влекущего ответственность по части первой статьи 1281 «Клевета» УК Российской Федерации, поскольку виновность лица в совершении преступления устанавливается вступившим в законную силу приговором суда; при этом было указано, что обстоятельства, установленные постановлением о прекращении уголовного дела, не являются преюдициальными и подлежат доказыванию. В передаче кассационных жалоб Н.И.Гуровой для рассмотрения в судебных заседаниях судов кассационной инстанции ей также было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Как неоднократно указывал Статья 56 ГПК Российской Федерации, закрепляющая, что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(часть первая), и наделяющая суд полномочиями определять, какие обстоятельства имеют значение для дела, какой стороне надлежит их доказывать, выносить обстоятельства на обсуждение, даже если стороны на какие-либо из них не ссылались (часть вторая), во взаимосвязи с другими предписаниями этого же Кодекса, в том числе с его статьями 2 и 195, не предполагает произвольного применения содержащихся в ней норм, являясь одной из процессуальных гарантий права на судебную защиту, направлена на обеспечение осуществления судопроизводства на основе состязательности сторон (статья 123, часть 3, Конституции Российской Федерации) и на обеспечение принятия судом законного и обоснованного решения (Определение Конституционного Суда Российской Федерации от 25 января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Гуровой Надежды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