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249408-П/2016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Семенова Андрея Геннадьевича на нарушение его конституционных прав статьями 17, 75, 88 и 281 Уголовно-процессуального кодекса Российской Федерации, а также статьями 61 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А.Г.Семенова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В соответствии со статьей 60 УК Российской Федерации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данного Кодекса, и с учетом положений его Общей 5 части (часть первая); при этом также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(часть третья). Так, в частности, статья 61 УК Российской Федерации закрепляет перечень обстоятельств, признаваемых в качестве смягчающих наказание (часть первая), позволяя при этом учитывать в качестве таковых и иные обстоятельства (часть вторая), а в силу части первой статьи 62 того же Кодекса – конкретизирующей в уголовном законе конституционные начала справедливости – при наличии смягчающих обстоятельств, предусмотренных пунктами «и» и (или) «к» части первой статьи 61 данного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Кодекса. Соответственно, взаимосвязанные положения статей 61 и 62 УК Российской Федерации неопределенности в указанном А.Г.Семеновым аспекте не содержат и также не могут расцениваться в качестве нарушающих его права,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Семенова Андрея Геннадьевича,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