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333207-П/2018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Поповой Нины Васильевны на нарушение ее конституционных прав частями первой и второй статьи 381, частью первой статьи 382 и статьей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Н.В.Поповой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гражданским процессуальным законодательством предварительная процедура рассмотрения судьей жалоб на вступившие в законную силу судебные постановления, на которую не распространяются некоторые обязательные для иных судебных процедур процессуальные правила – об извещении и вызове сторон, о проведении судебного заседания и др., обусловлена целью обеспечить баланс публичного и частного интересов и исключить явно необоснованные обращения. Само по себе введение данной процедуры, в рамках которой определяются правовые основания для дальнейшего движения дела исходя из доводов, изложенных в жалобе (представлении), и содержания обжалуемых судебных постановлений (материалов истребованного дела), отвечает правовой природе и предназначению производства по пересмотру вступивших в законную силу судебных постановлений и не может расцениваться как несовместимое с правом каждого на судебную защиту и на справедливое судебное разбирательство, притом что при рассмотрении дела по существу судом в отношении сторон и иных участвующих в нем лиц обеспечивается соблюдение основных процессуальных принципов и гарантий. Эти выводы содержатся в сохраняющем свою силу Постановлении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Поповой Нины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