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327033-П/2018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Якушенко Владимира Владимировича на нарушение его конституционных прав и конституционных прав его несовершеннолетней дочери Якушенко Варвары Владимировны частью второй статьи 22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В.В.Якушенко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ориентируя органы публичной власти на создание условий, обеспечивающих достойную жизнь и свободное развитие человека (статья 7), не закрепляет конкретные способы и объемы социальной защиты, предоставляемой тем или иным категориям граждан, в том числе подвергшихся воздействию радиации. Решение этих вопросов относится к компетенции законодательной власти, обладающей достаточной дискрецией в определении соответствующих мер социальной защиты и регламентации условий их предоставления (постановления Конституционного Суда Российской Федерации от 1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Якушенко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