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260771-П/2017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Калининградского гарнизонного военного суда о проверке конституционности статьи 135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Калининградского гарнизонного военного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Ч. 15 августа 2016 года обратился в Калининградский гарнизонный военный суд с заявлением о взыскании с Министерства финансов Российской Федерации в счет возмещения имущественного вреда, причиненного незаконным уголовным преследованием, расходов по оплате юридической помощи в размере 250 000 рублей. Судом установлено, что 26 июля 2016 года уголовное преследование Ч. по обвинению в совершении преступления, предусмотренного частью первой статьи 286 УК Российской 2 Федерации, было прекращено в связи с отсутствием в деянии состава преступления, а в остальной части – по обвинению в совершении двух преступлений, предусмотренных пунктом «а» части третьей той же статьи, уголовное преследование продолжено; 31 августа 2016 года уголовное дело Ч. поступило к прокурору для утверждения обвинительного заключения, при этом срок рассмотрения дела прокурором продлен до 30 суток. 14 сентября 2016 года Калининградский гарнизонный военный суд вынес постановление о направлении запроса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гарантируя реализацию данного права обязанностью государства обеспечивать полную, эффективную и справедливую защиту прав и свобод человека и гражданина (статья 45, часть 1; статья 46, части 1 и 2), компенсацию ущерба, причиненного злоупотреблениями властью, и доступ потерпевших от таких нарушений к правосудию (статья 52). Конституционным гарантиям находящегося под судебной защитой права на возмещение вреда, в том числе причиненного незаконным или необоснованным уголовным преследованием, корреспондируют положения Конвенции о защите прав человека и основных свобод (пункт 5 статьи 5 и статья 3 Протокола № 7 к Конвенции) и Международного пакта о гражданских и политических правах (подпункт «а» пункта 3 статьи 2, пункт 5 статьи 9 и пункт 6 статьи 14), утверждающие право каждого, кто стал жертвой незаконного ареста, заключения под стражу или судебной ошибки, на компенсацию и обязанность государства обеспечить эффективные средства правовой защиты нарушенных прав. В свою очередь, суд, рассматривающий требования реабилитированного, обязан – основываясь на приведенных положениях Конституции Российской Федерации и международно-правовых актов, с учетом смысла правовых позиций, изложенных в постановлениях Конституционного Суда Российской Федерации от 2 марта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Калининградского гарнизонного военного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