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Маленкина Сергея Сергеевича на нарушение его конституционных прав пунктом 1 части четвертой статьи 413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С.С.Маленкина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28 мая 2003 года, с которым впоследствии согласился заместитель Председателя того же суда (решение от 20 января 2004 года), в удовлетворении надзорной жалобы гражданина С.С.Маленкина о пересмотре приговора областного суда и определения суда второй инстанции было отказано. Полагая, что вследствие ненадлежащей мотивированности указанных судебных решений путем оценки всех содержавшихся в 2 надзорной жалобе доводов производство по уголовному делу подлежит возобновлению ввиду принятия Конституционным Судом Российской Федерации Определения от 8 июля 2004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413 УПК Российской Федерации относит к новым обстоятельствам признание Конституционным Судом Российской Федерации закона, примененного судом в конкретном уголовном деле, не соответствующим Конституции Российской Федерации (пункт 1), а также иные обстоятельства, что является частью механизма пересмотра вступивших в законную силу судебных решений в процедуре возобновления производства по уголовному делу ввиду новых или вновь открывшихся 3 обстоятельств, направленного на исправление незаконного, необоснованного или несправедливого судебного решения, восстановление нарушенных им прав (определения Конституционного Суда Российской Федерации от 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Маленкина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