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20429-П/2009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А. на нарушение его конституционных прав главой 51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рассмотрев по требованию гражданина А.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мирового судьи гражданину А. за совершение общественно опасного деяния, предусмотренного частью третьей статьи 129 УК Российской Федерации, назначена принудительная мера медицинского характера в виде принудительного лечения в психиатрическом стационаре общего типа.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Действующие уголовный и уголовно-процессуальный законы прямо закрепляют, что принудительные меры медицинского характера назначаются только в том случае, когда психическое расстройство лица связано с опасностью для него или других лиц либо возможностью причинения им иного существенного вреда (часть вторая статьи 97 УК Российской Федерации и часть вторая статьи 433 УПК Российской Федерации). При этом если лицо не представляет опасности по своему психическому состоянию либо им совершено деяние небольшой тяжести, то суд выносит постановление о прекращении уголовного дела и об отказе в применении принудительных мер медицинского характера; одновременно суд решает вопрос об отмене меры пресечения (часть вторая статьи 443 УПК Российской Федерации). Таким образом, положения главы 51 УПК Российской Федерации, действуя в системной связи с соответствующими нормами 4 уголовного закона, не предполагают возможности суда произвольно применять принудительные меры медицинского характера, в том числе в отношении лиц, не представляющих в силу своего психического состояния опасности для себя и для других лиц. Оценка же того, имелись ли у суда достаточные основания для назначения заявителю принудительной меры медицинского характера, в компетенцию Конституционного Суда Российской Федерации не входит. Часть первая статьи 441 УПК Российской Федерации устанавливает, что рассмотрение уголовного дела о применении принудительной меры медицинского характера производится в общем порядке с изъятиями, предусмотренными главой 51 того же Кодекса. При этом ни данная глава в целом, ни часть вторая названной статьи в частности не устанавливают изъятий, касающихся предоставления подсудимому последнего слова. Рассмотрение же дела заявителя в апелляционном порядке не лишает его возможности обжаловать решение суда апелляционной инстанции в кассационном порядке и не свидетельствует о том, что его права были нарушены. Кроме того, как следует из содержания жалобы, А.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А.,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