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379182-П/2018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Бирюкова Андрея Ивановича на нарушение его конституционных прав пунктом 1 статьи 836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А.И.Бирюкова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первой инстанции, оставленным без изменения постановлением арбитражного апелляционного суда, денежные требования гражданина А.И.Бирюкова, вытекающие из заключенных с кредитной организацией (коммерческим банком «Мастер- Банк» (ОАО) договоров банковского вклада, были признаны обоснованными и включены в первую очередь реестра требований кредиторов. Постановлением арбитражного суда кассационной инстанции указанные решения были изменены в части установления очередности требований А.И.Бирюкова – они были включены в третью очередь реестра 2 требований кредиторов банка. При этом арбитражный суд кассационной инстанции со ссылкой в том числе на положения пункта 1 статьи 836 ГК Российской Федерации пришел к выводу, что отсутствие в банке сведений об открытии А.И.Бирюкову счета, на которые поступили его денежные средства (суммы вклада), является основанием для квалификации спорных правоотношений как вытекающих из договоров займа, заключенных между кредитной организацией (заемщиком) и А.И.Бирюковым.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Бирюкова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