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358133-П/2018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Смирнова Александра Семеновича на нарушение его конституционных прав пунктами 1 и 2 статьи 167 Гражданского кодекса Российской Федерации и частями 2 и 3 статьи 29114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А.С.Смирнова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А.С.Смирновым положения статьи 167 ГК Российской Федерации, согласующиеся – как в редакции, действовавшей до внесения изменений Федеральным законом от 7 мая 2013 года № 100- ФЗ, так и в действующей редакции – с положением статьи 15 (часть 2) Конституции Российской Федерации об обязанности граждан и их объединений соблюдать Конституцию Российской Федерации и законы и направленные на защиту имущественных интересов участников гражданского оборота (определения Конституционного Суда Российской Федерации от 24 июня 2014 года Оспариваемые заявителем положения частей 2 и 3 статьи 29114 АПК Российской Федерации в системной связи с другими положениями главы 35 данного Кодекса являются конкретной формой реализации установленной законодательством возможности исправления по жалобам заинтересованных лиц судебных ошибок, имевших место в ходе предшествующего судебного разбирательства и повлиявших на исход дела, без устранения которых невозможны восстановление и защита нарушенных прав, свобод, законных интересов в сфере предпринимательской и иной экономической деятельности, а также защита охраняемых законом публичных интересов. 5 Следовательно, сами по себе названные законоположения, предоставляющие дополнительную гарантию защиты прав участников производства в арбитражном суде кассационной инстанции, не могут расцениваться как нарушающие конституционные права заявителя, перечисленные в жалобе, в его конкретном деле. Определение же наличия (или отсутствия) оснований для пересмотра вынесенных по конкретному делу судебных актов осуществляется соответствующим судом кассационной инстанции, который – исходя из предписаний статьи 29111 АПК Российской Федерации – должен установить, являются ли обстоятельства, приведенные в кассационной жалобе в качестве оснований для изменения или отмены судебных актов, достаточными для отступления от принципа правовой определенности и стабильности вступивших в законную силу судебных актов, а их отмена (изменение) и ее правовые последствия – соразмерными допущенным нарушениям норм материального и (или) процессуального права.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Смирнова Александра Семеновича,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