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433523-П/2019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Мищенко Александра Николаевича на нарушение его конституционных прав подпунктом «а» пункта 1 части первой статьи 3 и статьей 36 Федерального конституционного закона «О Конституционном Суде Российской Федерации», а также пунктом 1 статьи 21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А.Н.Мищенко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А.Н.Мищенко оспаривает конституционность подпункта «а» пункта 1 части первой статьи 3 «Полномочия Конституционного Суда Российской Федерации» и статьи 36 «Поводы и основания к рассмотрению дела в Конституционном Суде Российской Федерации» Федерального конституционного закона от 21 июля 1994 года № 1-ФКЗ «О Конституционном Суде Российской Федерации», а также пункта 1 статьи 21 «Административные 2 дела, подсудные Верховному Суду Российской Федерации» КАС Российской Федерации. Как следует из представленных материалов, А.Н.Мищенко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Мищенко Александра Николаевича,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