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252491-П/2016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Бирюкова Александра Александровича и Бородина Евгения Константиновича на нарушение их конституционных прав абзацем тринадцатым статьи 12 Гражданского кодекса Российской Федерации, частью шестой статьи 55 Градостроительного кодекса Российской Федерации, а также рядом положений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 А.А.Бирюкова и Е.К.Бородина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заявителями в обоснование своей позиции, свидетельствуют о том, что нарушение своих конституционных прав они связывают не с содержанием оспариваемых положений, которые сами по себе не содержат какой-либо неопределенности и не предполагают их произвольного применения, а с принятыми по делу с их участием судебными постановлениями в части правильности их применения, с которыми они фактически выражают несогласие. 5 Между тем проверка правильности применения норм права с учетом фактических обстоятельств конкретного дела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Бирюкова Александра Александровича и Бородина Евгения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