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244196-П/2016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«Транс Авто» на нарушение конституционных прав и свобод пунктом 2 части 7 статьи 19 Федерального закона «Об охране здоровья граждан от воздействия окружающего табачного дыма и последствий потребления табака» и частью 3 статьи 28.1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«Транс Авто»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«Транс Авто»,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