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475109-П/2020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Галанова Сергея Александровича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С.А.Галанова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Верховного Суда Российской Федерации как суда кассационной (второй) инстанции, вынесенным 15 марта 2011 года в связи с новым рассмотрением уголовного дела в отношении гражданина С.А.Галанова в этой инстанции (после отмены вышестоящим судом ранее вынесенного решения), продлен на три месяца срок его содержания под стражей. Постановлением судьи Верховного Суда Российской Федерации от 10 октября 2019 года, с которым, в свою очередь, согласился заместитель Председателя того же суда (решение от 17 февраля 2020 года), отказано в передаче для рассмотрения в судебном заседании суда 2 надзорной инстанции жалобы С.А.Галанова на указанное судебное решение ввиду отсутствия существенных нарушений закона, повлиявших на исход дела. В этой связи заявитель, отбывающий наказание в виде пожизненного лишения свободы, просит признать противоречащими статьям 45, 46 и 123 (часть 3) Конституции Российской Федерации часть третью статьи 101 «Постановление и определение об избрании меры пресечения», статьи 108 «Заключение под стражу», 109 «Сроки содержания под стражей», 255 «Решение вопроса о мере пресечения» и часть первую статьи 4129 «Основания отмены или изменения судебных решений в порядке надзора» УПК Российской Федерации. По утверждению заявителя, данные нормы нарушают его права, поскольку допускают возможность продления судом срока содержания обвиняемого (осужденного) под стражей без его уведомления о дате и времени соответствующего судебного заседания и без обеспечения его участия в заседании, не обязывают суд разъяснять обвиняемому (осужденному) право и порядок оспаривания принятого в его отношении судебного решения, а также позволяют не относить такие нарушения к числу существенных и повлиявших на исход дела, не конкретизируя понятие последних.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закрепляет условия и порядок избрания, применения, продления меры пресечения в виде заключения под стражу на досудебной (статьи 108 и 109) и судебной (статья 255) стадиях производства по уголовному делу.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Галанова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