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290344-П/2017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Виталия Петровича на нарушение его конституционных прав статьями 1069 и 1070 Гражданского кодекса Российской Федерации, статьями 145 и 148 Уголовно-процессуального кодекса Российской Федерации и судебным постановлением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В.П.Степанова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гражданину В.П.Степанову было отказано в удовлетворении требований о возмещении ущерба, причиненного незаконными действиями органов внутренних дел, поскольку истцом не было представлено доказательств причинения ему вреда. При этом суд, руководствуясь статьями 145 и 148 УПК Российской Федерации, исходил из того, что принятие должностным лицом органов внутренних дел решения об отказе в возбуждении уголовного дела по основаниям и в порядке, 2 предусмотренном уголовно-процессуальным законодательством, не свидетельствует о причинении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Виталия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