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299034-П/2017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Маниной Елены Александровны на нарушение ее конституционных прав статьей 8.2 Кодекса Российской Федерации об административных правонарушениях, а также пунктами 6 и 12 Порядка разработки и утверждения нормативов образования отходов и лимитов на их размещение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Е.А.Маниной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Конституционная обязанность сохранять природу и окружающую среду, бережно относиться к природным богатствам имеет всеобщий характер и, будучи частью обеспечительного механизма реализации конституционного права каждого на благоприятную окружающую среду и других экологических прав, распространяется как на граждан, так и на юридические лица, что с необходимостью предполагает и их ответственность за состояние экологии (Постановление Конституционного Суда Российской Федерации от 5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Маниной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