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436900-П/2019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Морозова Владимира Владимировича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В.В.Морозова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В.В.Морозов оспаривает конституционность части 1 статьи 1.6 «Обеспечение законности при применении мер административного принуждения в связи с административным правонарушением», статьи 26.4 «Экспертиза», части 3 статьи 28.5 «Сроки составления протокола об административном правонарушении», статьи 28.7 «Административное расследование», части 2 статьи 29.5 «Место рассмотрения дела об административном правонарушении», пункта 4 части 1 статьи 30.7 «Решение по жалобе на постановление по делу об административном правонарушении» и пункта 3 части 2 статьи 30.17 «Виды постановлений, принимаемых по 2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судьи Ленинского районного суда Тульской области от 23 августа 2017 года водитель В.В.Морозов был признан виновным в совершении административных правонарушений, предусмотренных частями 1 и 2 статьи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КоАП Российской Федерации. Решением судьи Тульского областного суда от 26 октября 2017 года производство по делу об административном правонарушении, предусмотренном частью 1 статьи 12.24 КоАП Российской Федерации, было прекращено по причине недоказанности обстоятельств, на основании которых было вынесено постановление, а административное наказание в виде лишения права управления транспортными средствами, назначенное за совершение предусмотренного частью 2 статьи 12.24 КоАП Российской Федерации административного правонарушения, было заменено на административный штраф. Вышестоящие суды, включая Верховный Суд Российской Федерации, подтвердили законность такого решения. Заявитель утверждает, что оспариваемые законоположения позволяют признавать в качестве доказательства не подписанное соответствующим должностным лицом определение о возбуждении дела об административном правонарушении и проведении административного расследования; составлять за пределами установленного срока протокол об административном правонарушении; возвращать из экспертного учреждения неисполненное определение о назначении судебной экспертизы, а также предписывают рассматривать дело об административном правонарушении по месту нахождения органа, проводившего административное расследование, исключая возможность рассмотрения такого дела по месту жительства лица, привлекаемого к административной ответственности. Кроме того, заявитель 3 полагает, что оспариваемые нормы позволяют судье произвольно определять, являются ли нарушения процессуальных требований существенными и, соответственно, влекут ли они отмену вынесенного акта и возвращение дела на новое рассмотрение. В связи с этим заявитель просит признать оспариваемые законоположения не соответствующими статьям 2, 19 (части 1 и 2), 45, 46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Морозова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