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280108-П/2017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Гриднева Игоря Валерьевича на нарушение его конституционных прав частью первой статьи 81, частью первой статьи 17, частью первой и пунктом 1 части второй статьи 4018 и частью первой статьи 40115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И.В.Гриднева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Дубненского городского суда Московской области от 28 апреля 2015 года отказано в удовлетворении ходатайства гражданина И.В.Гриднева о внесении в приговор изменений касательно момента, с которого должен исчисляться срок отбывания назначенного ему наказания в виде лишения свободы. В передаче его кассационной жалобы на данное судебное решение для рассмотрения в судебном заседании суда кассационной инстанции отказано постановлением судьи Верховного Суда Российской Федерации от 9 сентября 2016 года.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Гриднева Игоря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