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338697-П/2018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Чукавина Константина Викторовича на нарушение его конституционных прав частью второй статьи 81 Уголовного кодекса Российской Федерации и статьей 399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К.В.Чукавина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 относит уголовное и уголовно- процессуальное законодательство к ведению Российской Федерации (статья 71, пункт «о»). В силу этого, как неоднократно указывал Конституционный Суд Российской Федерации, федеральный законодатель в очерченных Конституцией Российской Федерации пределах самостоятельно определяет содержание положений уголовного и уголовно-процессуального законов, в том числе устанавливает преступность общественно опасных деяний, их наказуемость и иные уголовно-правовые последствия совершения преступления, а также условия, при которых возможен отказ от использования предусмотренных в качестве средств реагирования на те или иные деяния мер государственного принуждения; вместе с тем законодательное установление уголовной ответственности и наказания без учета личности виновного и иных обстоятельств, имеющих объективное и разумное обоснование и способствующих адекватной юридической оценке общественной опасности как самого преступного деяния, так и совершившего его лица, и применение мер ответственности без учета характеризующих личность виновного обстоятельств противоречили бы конституционному запрету дискриминации и выраженным в Конституции Российской Федерации принципам справедливости и гуманизма 3 (постановления от 19 марта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Чукавина Константина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