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365536-П/2018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Гурепки Николая Васильевича на нарушение его конституционных прав частью первой статьи 44 Гражданского процессуального кодекса Российской Федерации и частью 2 статьи 1 Федерального закона «О применении положений Федерального закона «Об исполнительном производстве» на территориях Республики Крым и города федерального значения Севастополя»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Н.В.Гурепки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44 ГПК Российской Федерации, закрепляющие в качестве оснований процессуального правопреемства факты правопреемства в спорном или установленном судом материальном правоотношении, а также 4 предусматривающие порядок осуществления процессуального правопреемства, в том числе возможность его осуществления на любой стадии гражданского судопроизводства, –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Гурепки Николая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