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495176-П/2020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Тюленева Александра Владимировича на нарушение его конституционных прав положением статьи 721 Трудового кодекса Российской Федерации, а также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А.В.Тюленева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А.В.Тюленев оспаривает конституционность следующих законоположений: статьи 721 Трудового кодекса Российской Федерации, а фактически ее части третьей, согласно которой 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 2 части третьей статьи 390 ГПК Российской Федерации, предусматривающей, что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 По мнению заявителя, оспариваемое положение статьи 721 Трудового кодекса Российской Федерации не соответствует статье 37 Конституции Российской Федерации, поскольку по смыслу, придаваемому правоприменительной практикой, не позволяет однозначно определить понятие «другая местность», что приводит к нарушению права работников на свободный труд и лишает работников, работодатель которых изменил свое место нахождения, предусмотренных законом гарантий. Нарушение своих прав частью третьей статьи 390 ГПК Российской Федерации А.В.Тюленев усматривает в том, что она предусматривает возможность формального подхода суда кассационной инстанции и нарушает тем самым принципы состязательности и равноправия сторон, что противоречит статье 123 (часть 3) Конституции Российской Федерации. Часть третья статьи 721 Трудового кодекса Российской Федерации применена судом в деле заявителя. Что касается оспариваемого положения ГПК Российской Федерации, то фактически в деле заявителя судом была применена часть вторая статьи 390 данного Кодекса в редакции, действовавшей до 1 октября 2019 года (даты вступления в силу Федерального закона от 28 ноября 2018 года № 451-ФЗ), положения которой после внесения изменений в Гражданский процессуальный кодекс Российской Федерации названным Федеральным законом были частично воспроизведены в оспариваемой норме.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721 Трудового кодекса Российской Федерации допускает перемещение работника на другое рабочее место без его согласия в той же местности, когда это не влечет за собой изменения определенных сторонами условий трудового договора. При этом согласно пункту 16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под другой местностью понимается местность за пределами административно-территориальных границ соответствующего населенного пункта. Такое правовое регулирование, предусматривающее возможность перемещения работника без его согласия на другое рабочее место только в пределах одного населенного пункта и только в том случае, если конкретное рабочее место не указано в трудовом договоре, направлено на защиту интересов работников и не может расцениваться как нарушающее их права.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его конкретном деле части третьей статьи 390 ГПК Российской Федерации (в оспариваемой редакции), а потому его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Тюленева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