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353332-П/2018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июля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Кочетковой Зои Григорьевны на нарушение ее конституционных прав пунктом 2 части первой статьи 390 Гражданского процессуального кодекса Российской Федерации, пунктом 1 статьи 1088 Гражданского кодекса Российской Федерации и пунктом 3 статьи 9 Федерального закона «О трудовых пенсиях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по требованию гражданки З.Г.Кочетковой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2 части первой статьи 390 ГПК Российской Федерации, находящийся в системном единстве с положениями статьи 387 данного Кодекса об основаниях для отмены или изменения вступивших в законную силу судебных постановлений в кассационном порядке и предусматривающий полномочие суда кассационной инстанции отменить вступившее в законную силу судебное постановление нижестоящего суда в части и направить дело в этой части на новое рассмотрение в соответствующий суд, является формой реализации установленной законодательством возможности исправления по жалобе заинтересованного лица судебной ошибки, имевшей место в ходе предшествующего судебного разбирательства при разрешении части заявленных требований, без устранения которой не могут быть обеспечены эффективное восстановление 4 и защита нарушенных прав и свобод, а также защита публичных интересов. Реализация судом кассационной инстанции такого рода полномочия, вопреки утверждению заявительницы, не влечет за собой разъединения нескольких исковых требований, которое может быть осуществлено судом только на стадии подготовки дела к судебному разбирательству (статья 151 ГПК Российской Федерации). Таким образом, пункт 2 части первой статьи 390 ГПК Российской Федерации в указанном заявительницей аспекте не нарушает ее конституционных прав, перечисленных в жалобе. Пункт 1 статьи 1088 ГК Российской Федерации, определяющий круг лиц, имеющих право на возмещение вреда, понесенного в результате смерти кормильца, направлен на защиту имущественных прав указанных лиц и не может рассматриваться как нарушающий конституционные права заявительницы, указанные в жалобе. Пункт 3 статьи 9 Федерального закона «О трудовых пенсиях в Российской Федерации» (равно как и часть 3 статьи 10 Федерального закона «О страховых пенсиях») направлен на обеспечение реализации пенсионных прав лиц, потерявших кормильца, которые нуждаются в особой защите, и конституционных прав заявительницы не затрагивает. Установление же и исследование обстоятельств конкретного дела, в том числе фактического нахождения З.Г.Кочетковой на иждивении погибшего сына, к компетенции Конституционного Суда Российской Федерации, установленной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частью второй статьи 40,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Кочетковой Зои Григорьевны,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