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Машковой Натальи Александровны на нарушение ее конституционных прав частью восьмой статьи 251 Гражданского процессуального кодекса Российской Федерации, частью 4 статьи 2 и статьей 321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Н.А.Машковой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 При оспаривании конституционности положений статьи 321 Кодекса административного судопроизводства Российской Федерации в связи с невозможностью проверки определения судьи кассационной инстанции о возвращении кассационных жалобы, представления следует учитывать, что, по смыслу статей 318 и 319 указанного Кодекса, объектом 4 пересмотра в кассационном порядке являются судебные акты, вынесенные по итогам рассмотрения дела по существу, либо промежуточные определения суда по вопросам, имеющим значение для движения дела; вопрос же о возможности возвращения кассационных жалобы, представления заявителю вследствие их формальных недостатков выносится в процедуре предварительного рассмотрения кассационных жалобы, представления, в которой дело по существу не рассматривается, а решается лишь вопрос о соответствии кассационных жалобы, представления требованиям процессуального закона; какое-либо иное решение, по-новому определяющее права и обязанности участвующих в деле лиц, при этом не выносится. Кроме того, возвращение кассационной жалобы, представления не препятствует повторной их подаче после устранения недостатков и не лишает заинтересованное лицо права на рассмотрение его жалобы, представления в суде кассационной инстанции. Таким образом, статья 321 Кодекса административного судопроизводства Российской Федерации не может рассматриваться как нарушающая конституционные права заявительницы, перечисленные в жалобе, в указанном аспекте. Что касается доводов жалобы о неконституционности части 4 статьи 2 Кодекса административного судопроизводства Российской Федерации, то она не содержит норм, регулирующих порядок принятия судебных актов по результатам рассмотрения кассационных жалоб в суде кассационной инстанции. Разрешение же вопроса о том, какие нормы права подлежали применению судьей суда кассационной инстанции при изучении в предварительном порядке кассационной жалобы заявительницы с учетом содержания вынесенных по делу судебных актов и доводов кассационной жалобы,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5 Исходя из изложенного и руководствуясь частью второй статьи 40, пунктами 2 и 4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Машковой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