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495643-П/2020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«Гриндекс» на нарушение конституционных прав и свобод положениями статей 233 и 239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АО «Гриндекс»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АО «Гриндекс» оспаривает конституционность пункта 2 части 4 статьи 233 «Основания для отмены решения третейского суда» и пункта 2 части 4 статьи 239 «Основания для отказа в выдаче исполнительного листа на принудительное исполнение решения третейского суда» АПК Российской Федерации. Как следует из представленных материалов, определением арбитражного суда, оставленным без изменения постановлением арбитражного суда кассационной инстанции, удовлетворено заявление юридического лица об отмене решения третейского суда о взыскании с него долга по иску АО «Гриндекс» и отказано в удовлетворении заявления АО 2 «Гриндекс» о выдаче исполнительного листа на принудительное исполнение названного решения. Рассмотрев указанные заявления, арбитражный суд пришел к выводу о том, что решение третейского суда не соответствует принципу правовой определенности и не устанавливает баланс прав спорящих сторон, а исполнение такого решения приведет к нарушению основополагающих принципов российского права (в том числе принципов законности судебного акта, справедливости и соразмерности имущественного взыскания, правовой определенности, законной силы судебного акта, в части его окончательности и неопровержимости (res judicata), равноправия и состязательности сторон, их права на участие в судебном заседании). Определением судьи Верховного Суда Российской Федерации отказано в передаче кассационной жалобы заявителя на указанные судебные акты для рассмотрения в судебном заседании Судебной коллегии по экономическим спорам Верховного Суда Российской Федерации. Заместитель Председателя Верховного Суда Российской Федерации не нашел оснований для несогласия с указанным определением судьи Верховного Суда Российской Федерации и для внесения представления в Президиум Верховного Суда Российской Федерации в порядке надзора на основании статьи 30810 АПК Российской Федерации. По мнению заявителя, оспариваемые законоположения противоречат статьям 8 (часть 1), 34 (часть 1), 35 (части 1 и 3), 45 (часть 2), 47 (часть 1), 55 и 118 Конституции Российской Федерации, поскольку они наделяют государственные суды полномочиями по проверке обоснованности, мотивированности решения третейского суда, правильности применения третейским судом норм материального права, доказанности обстоятельств, имеющих значение для дела, достаточности доказательств, оценки доказательств третейским судом и совершению иных действий, связанных с проверкой решения третейского суда по существу.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«Гриндекс»,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