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361095-П/2018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положениями статей 286 и 315 Уголовного кодекса Российской Федерации, статей 50, 51, 125, 144, 145, 3896, 38912, 38913, 38919, 38920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краевого суда от 26 апреля 2018 года гражданину Э.А.Гусейнову возвращена его кассационная жалоба на судебные решения. Полагая данные действия судьи преступными, Э.А.Гусейнов обратился в следственный орган с заявлением о привлечении того к уголовной ответственности, однако письмом руководителя следственного органа от 1 июня 2018 года ему сообщено об отсутствии оснований для регистрации его 2 заявления. В принятии жалобы на это решение руководителя следственного органа Э.А.Гусейнову отказано постановлением судьи районного суда от 20 июня 2018 года, с чем согласился суд апелляционной инстанции (постановление от 20 июля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жалобе Э.А.Гусейнова, свидетельствуют о том, что, формально оспаривая конституционность норм Уголовного кодекса Российской Федерации и Уголовно-процессуального кодекса Российской Федерации, он предлагает Конституционному Суду Российской Федерации оценить обоснованность и правильность вынесенных по его делу правоприменительных решений. Между тем разрешение такого рода вопросов к компетенции Конституционного Суда Российской Федерации, закрепленной статьей 125 Конституции Российской Федерации и статьей 3 4 Федерального конституционного закона «О Конституционном Суде Российской Федерации», не относится. Помимо того, применительно к положениям уголовно-процессуального закона Э.А.Гусейновым уже ставился вопрос об обеспечении его квалифицированной юридической помощью адвоката при вынесении судебных решений по правилам статьи 125 УПК Российской Федерации и проверке их правосудности в апелляционном порядке, однако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