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469401-П/2020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Бекиной Ирины Ивановны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И.И.Бекиной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И.И.Бекина оспаривает конституционность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2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указанных в Списке, продолжительностью не менее 16 лет 8 месяцев. По мнению заявительницы, оспариваемая норма, примененная при рассмотрении ее дела судами общей юрисдикции, не соответствует статьям 2, 7, 15, 18, 39 и 55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она препятствует реализации права на досрочное пенсионное обеспечение лиц, работавших в должности тренера- преподавателя в названных учреждениях и не имевших соответствующего стажа на указанную дату, чем ставит их в неравное положение с другими лицами, осуществлявшими педагогическую деятельность в учреждениях для детей.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страховой пенсии по старости предусмотрены пунктом 19 части 1 статьи 30 Федерального закона от 28 декабря 2013 года № 400-ФЗ «О страховых пенсиях».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 (с 1 января 2015 года – страховая пенсия по старости),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Правительство Российской Федерации Постановлением от 29 октября 2002 года № 781 наряду со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утвердило Правила исчисления периодов такой работы. Указанные акты применяются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4 Оспариваемый пункт 12 Правил, утвержденных Постановлением Правительства Российской Федерации от 29 октября 2002 года № 781, фактически воспроизводит положение Постановления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 в редакции Постановления Правительства Российской Федерации от 1 февраля 2001 года № 79 «О внесении изменений и дополнений в постановление Правительства Российской Федерации от 22 сентября 1999 года № 1067», предусматривавшее включение в выслугу, дающую право на пенсию за выслугу лет в связи с педагогической деятельностью в школах и других учреждениях для детей, работы в должности педагога дополнительного образования в образовательных учреждениях дополнительного образования детей за периоды с 1 ноября 1999 года по 31 декабря 2000 года без ограничений, а начиная с 1 января 2001 года –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года. Введение в действие указанного изменения правового регулирования сопровождалось установлением специальной гарантии для лиц, длительное время проработавших в учреждениях для детей (не менее 16 лет 8 месяцев) и с 1 ноября 1999 года по 31 декабря 2000 года занимавших должности преподавателей, в том числе тренера-преподавателя в учреждениях дополнительного образования детей. Таким образом,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5 Следовательно, норма, закрепившая данное правило, не может расцениваться как нарушающая конституционные права заявительницы.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Бекиной Ирины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