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248243-П/2016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Шевердинова Сергея Васильевича на нарушение его конституционных прав частью 1 статьи 23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С.В.Шевердинова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законоположение определяет момент начала действия на территориях Республики Крым и города федерального значения Севастополя законодательства Российской Федерации – день принятия в Российскую Федерацию Республики Крым и образования в составе Российской Федерации новых субъектов. Из жалобы заявителя следует, что нарушение своих конституционных прав он связывает с тем, что оспариваемое законоположение не позволяет применить к нему как к лицу, совершившему административное правонарушение на территории Республики Крым до дня ее принятия в Российскую Федерацию, санкцию статьи 16.4 КоАП Российской Федерации, не допускающей – в отличие от Таможенного кодекса Украины – назначение административного штрафа и конфискации предмета административного правонарушения одновременно. Между тем судебными решениями по делу заявителя установлено, что наказание по статье 471 Таможенного кодекса Украины в виде штрафа 1700 гривен является менее строгим, чем санкция статьи 16.4 КоАП Российской Федерации (в редакции до вступления в силу Федерального закона от 23 4 июня 2016 года № 207-ФЗ), предусматривавшей административный штраф в размере от однократной до двукратной незадекларированной суммы наличных денежных средств и (или) стоимости денежных инструментов либо конфискацию предмета административного правонарушения. Следовательно, позиция заявителя относительно оспариваемой нормы не подтверждается правоприменительными решениями по его конкретному делу. Таким образом, оспариваемые законоположения с учетом установленных судами обстоятельств конкретного дела заявителя не могут быть оценены как нарушающие его конституционные права в указанном им аспекте. Проверка же законности и обоснованности судебных решений, в том числе установление того, является ли наказание по статье 471 Таможенного кодекса Украины менее или более строгим по сравнению с санкцией статьи 16.4 КоАП Российской Федерации,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Шевердинова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