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379184-П/2018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Амельченко Натальи Казимировны на нарушение ее конституционных прав статьей 1102 Гражданского кодекса Российской Федерации и абзацем седьмым части 4 статьи 170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Н.К.Амельченко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первой инстанции с учетом изменений, внесенных постановлением арбитражного суда кассационной инстанции, были частично удовлетворены исковые требования, предъявленные гражданкой Н.К.Амельченко – индивидуальным предпринимателем к территориальной сетевой организации, в том числе о взыскании с ответчика в пользу истицы суммы процентов за неправомерное пользование чужими денежными средствами. Определением судьи Верховного Суда Российской Федерации в передаче кассационной жалобы заявительницы для 2 рассмотрения в судебном заседании Судебной коллегии по экономическим спорам Верховного Суда Российской Федерации было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Полномочия Пленума Верховного Суда Российской Федерации давать разъяснения по вопросам судебной практики закреплены в статье 126 Конституции Российской Федерации. Такие же полномочия Высшего Арбитражного Суда Российской Федерации ранее были закреплены в статье 127 Конституции Российской Федерации. Положение статьи 126 Конституции Российской Федерации воспроизведено в пункте 1 части 7 статьи 2 Федерального конституционного закона от 5 февраля 2014 года № 3-ФКЗ «О Верховном Суде Российской Федерации», согласно которому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 на основе ее изучения и обобщения, и в пункте 1 части 3 статьи 5 данного Федерального конституционного закона, в силу которого Пленум Верховного Суда Российской Федерации рассматривает материалы анализа и обобщения судебной практики и дает судам разъяснения по вопросам судебной практики в целях обеспечения единообразного применения законодательства Российской Федерации. Следовательно, абзац седьмой 4 части 4 статьи 170 АПК Российской Федерации, конкретизирующий положения Конституции Российской Федерации, не может расцениваться как нарушающий конституционные права заявительницы, указанные в жалобе. Статья 1102 ГК Российской Федерации, обязывающая лицо, неосновательно получившее или сберегшее имущество за счет другого лица, возвратить последнему такое имущество, призвана обеспечить защиту имущественных прав участников гражданского оборота (определения Конституционного Суда Российской Федерации от 20 декабря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Амельченко Натальи Казимировны,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