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282132-П/2017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Александра Александровича на нарушение его конституционных прав пунктом 5 части 1 статьи 21 и частью 5 статьи 25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А.А.Смирнова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А.А.Смирновым положения пункта 5 части 1 статьи 21 и части 5 статьи 25 АПК Российской Федерации, устанавливающие основания для отвода судьи, а также предписывающие по результатам рассмотрения вопроса о самоотводе или об отводе выносить определение, направлены на исключение его участия в рассмотрении дела, когда указанными в них фактическими обстоятельствами порождаются сомнения в беспристрастности судьи. Исходя из требований к обеспечению беспристрастности судьи в процессе, являющейся одной из фундаментальных процессуальных гарантий прав личности, оспариваемые законоположения, находясь в системной связи с другими нормами главы 3 АПК Российской Федерации, не могут расцениваться как препятствующие удовлетворению заявления об отводе судьи в случае, если будут установлены его личная, прямая или косвенная заинтересованность в исходе дела либо наличие иных обстоятельств, которые могут вызвать сомнения в его беспристрастности. Дополнительной гарантией соблюдения принципа беспристрастности суда при разрешении вопроса об отводе судьи (судей) является требование о вынесении по данному вопросу мотивированного определения, в отношении которого могут быть заявлены возражения при обжаловании в суд вышестоящей инстанции судебного акта, которым заканчивается рассмотрение дела по существу (часть 5 статьи 25 и часть 2 статьи 188 АПК Российской Федерации). 4 Таким образом, пункт 5 части 1 статьи 21 и часть 5 статьи 25 АПК Российской Федерации не могут расцениваться как нарушающие конституционные права заявителя, указанные в жалобе. Определение же того, могли ли обстоятельства, на которые указывает заявитель, свидетельствовать о пристрастности состава судей арбитражного суда кассационной инстанции при рассмотрении дела с его участием,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