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275492-П/2017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Бизиной Натальи Валентиновны на нарушение ее конституционных прав частью второй статьи 61 Гражданского процессуального кодекса Российской Федерации, абзацем первым пункта 1 и пунктом 2 статьи 10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гражданки Н.В.Бизиной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 Статья 61 ГПК Российской Федерации, предусматривающая, что обстоятельства, установленные вступившим в законную силу судебным постановлением по ранее рассмотренному делу, обязательны для суда, не 3 доказываются вновь и не подлежат оспариванию при рассмотрении другого дела, в котором участвуют те же лица (часть вторая),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направленная на обеспечение в условиях действия принципа состязательности законности выносимых судом постановлений, во взаимосвязи с другими предписаниями данного Кодекса, в том числе закрепленными в его статье 2, части первой статьи 12, части второй статьи 13, статьях 56 и 195, а также в части первой статьи 196 ГПК Российской Федерации, не предполагает ее произвольного применения, а потому не может расцениваться как нарушающая конституционные права заявительницы, указанные в жалобе. Установление же оснований для применения оспариваемой нормы в конкретном деле с участием заявительницы связано с исследованием фактических обстоятельств данного дела, является прерогативой соответствующих судов общей юрисдикции и не входит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Бизиной Натальи Валентиновны,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