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Беликова Михаила Николаевича на нарушение его конституционных прав частью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М.Н.Беликова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(как в оспариваемой заявителем редакции, так и в редакции Федерального закона от 1 мая 2016 года № 125-ФЗ), закрепляющая основания, условия выплаты и порядок определения размера ежемесячной денежной компенсации сотрудникам, проходившим службу в учреждениях и органах, указанных в данном Федеральном законе, носит гарантийный характер. Данная компенсация – наряду с иными выплатами, осуществляемыми в целях компенсации вреда, причиненного здоровью указанных лиц при исполнении ими служебных обязанностей (пенсии, обеспечение по обязательному государственному страхованию и др.), – направлена на сохранение за сотрудниками утраченного вследствие названных причин денежного довольствия и обеспечивает защиту их интересов. Такое правовое регулирование направлено на обеспечение повышенной социальной защиты указанной категории граждан и не может рассматриваться как нарушающее права заявителя. Как следует из жалобы, оспаривая конституционность части 5 статьи 12 Федерального закона «О социальных гарантиях сотрудникам некоторых 4 федеральных органов исполнительной власти и внесении изменений в отдельные законодательные акты Российской Федерации», М.Н.Беликов ставит вопрос об обоснованности установленного ею правового регулирования и выражает несогласие с порядком исчисления размера ежемесячной денежной компенсации, который отличается от порядка возмещения вреда, причиненного жизни и здоровью граждан, установленного Гражданским кодексом Российской Федерации. Однако установление указанной нормой иных – по сравнению с предусмотренными гражданско-правовым институтом возмещения вреда, причиненного жизни и здоровью гражданина, – правил исчисления ежемесячной денежной компенсации, выплачиваемой сотруднику, проходившему службу в учреждениях и органах, указанных в данном Федеральном законе, в случае причинения ему в связи с выполнением служебных обязанностей увечья или иного повреждения здоровья, исключающих возможность дальнейшего прохождения службы и повлекших стойкую утрату трудоспособности, не может рассматриваться как не согласующееся с конституционным принципом равенства, поскольку указанная компенсация представляет собой дополнительную социальную гарантию, которая деликтными обязательствами, регламентируемыми Гражданским кодексом Российской Федерации, не охватывается (Определение Конституционного Суда Российской Федерации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Беликова Михаила Николаевича,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