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235357-П/2016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Дворецкого Юрия Валентиновича на нарушение его конституционных прав частью 2 статьи 25.1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Ю.В.Дворецкого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Поскольку в силу части 2 статьи 25.1 КоАП Российской Федерации дело об административном правонарушении рассматривается с участием лица, в отношении которого ведется производство по такому делу, судья, орган, должностное лицо, рассматривающие дело об административном правонарушении, обязаны известить лицо, в отношении которого ведется производство об административном правонарушении, о времени и месте рассмотрения дела. Кодекс Российской Федерации об административных правонарушениях прямо устанавливает, что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 (часть 1 статьи 25.15). Согласно разъяснениям, данным Верховным Судом Российской Федерации в постановлении Пленума от 24 марта 2005 года № 5 «О некоторых вопросах, возникающих у судов при применении Кодекса Российской Федерации об административных правонарушениях», данный Кодекс не содержит каких-либо ограничений, связанных с таким извещением, при этом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хранения, если были соблюдены положения Особых условий приема, 4 вручения, хранения и возврата почтовых отправлений разряда «Судебное», утвержденных приказом ФГУП «Почта России» от 31 августа 2005 года № 343 (пункт 6). Таким образом,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Дворецкого Юрия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